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b/>
          <w:sz w:val="28"/>
        </w:rPr>
      </w:pPr>
    </w:p>
    <w:p>
      <w:pPr>
        <w:rPr>
          <w:rFonts w:eastAsia="仿宋"/>
          <w:b/>
          <w:sz w:val="28"/>
        </w:rPr>
      </w:pPr>
    </w:p>
    <w:p>
      <w:pPr>
        <w:rPr>
          <w:rFonts w:eastAsia="仿宋"/>
          <w:b/>
          <w:sz w:val="28"/>
        </w:rPr>
      </w:pPr>
    </w:p>
    <w:p>
      <w:pPr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附件3  </w:t>
      </w:r>
    </w:p>
    <w:p>
      <w:pPr>
        <w:ind w:firstLine="480" w:firstLineChars="15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贵州省工业设计中心（工业设计企业）培育申请表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10"/>
        <w:gridCol w:w="2533"/>
        <w:gridCol w:w="1717"/>
        <w:gridCol w:w="172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1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工业设计中心名称</w:t>
            </w:r>
          </w:p>
        </w:tc>
        <w:tc>
          <w:tcPr>
            <w:tcW w:w="5011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成立时间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场所面积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资产总额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运营模式</w:t>
            </w:r>
          </w:p>
        </w:tc>
        <w:tc>
          <w:tcPr>
            <w:tcW w:w="501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 xml:space="preserve">□独立核算      □非独立核算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理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25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专业人员    </w:t>
            </w:r>
          </w:p>
        </w:tc>
        <w:tc>
          <w:tcPr>
            <w:tcW w:w="425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工业设计从业人数</w:t>
            </w:r>
          </w:p>
        </w:tc>
        <w:tc>
          <w:tcPr>
            <w:tcW w:w="3294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25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其中：本科及以上学历人员数及占比</w:t>
            </w:r>
          </w:p>
        </w:tc>
        <w:tc>
          <w:tcPr>
            <w:tcW w:w="3294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ind w:left="191" w:leftChars="91"/>
              <w:rPr>
                <w:sz w:val="24"/>
              </w:rPr>
            </w:pPr>
          </w:p>
        </w:tc>
        <w:tc>
          <w:tcPr>
            <w:tcW w:w="4250" w:type="dxa"/>
            <w:gridSpan w:val="2"/>
            <w:noWrap w:val="0"/>
            <w:vAlign w:val="center"/>
          </w:tcPr>
          <w:p>
            <w:pPr>
              <w:ind w:left="191" w:leftChars="91"/>
              <w:rPr>
                <w:sz w:val="24"/>
              </w:rPr>
            </w:pPr>
            <w:r>
              <w:rPr>
                <w:sz w:val="24"/>
              </w:rPr>
              <w:t>具有技师（高级技师）职业资格的人员、高级专业技术职务人员数及占比</w:t>
            </w:r>
          </w:p>
        </w:tc>
        <w:tc>
          <w:tcPr>
            <w:tcW w:w="3294" w:type="dxa"/>
            <w:gridSpan w:val="2"/>
            <w:noWrap w:val="0"/>
            <w:vAlign w:val="center"/>
          </w:tcPr>
          <w:p>
            <w:pPr>
              <w:ind w:left="191" w:leftChars="9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51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近两年主要指标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   年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   年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两年总额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投入情况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投入总额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占企业R＆D支出比重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其中：设计人员经费支出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eastAsia="黑体"/>
                <w:b/>
                <w:sz w:val="24"/>
              </w:rPr>
              <w:t>运行情况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中心运营经费支出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工业设计服务外包额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承担工业设计项目数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拥有自主知识产权成果数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专利数(申请/授权)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tabs>
          <w:tab w:val="left" w:pos="925"/>
        </w:tabs>
        <w:jc w:val="left"/>
        <w:rPr>
          <w:rFonts w:hint="eastAsia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12F54"/>
    <w:rsid w:val="4BE1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2020-06-15T07:28:00Z</dcterms:created>
  <dc:creator>刘蓓</dc:creator>
  <cp:lastModifiedBy>刘蓓</cp:lastModifiedBy>
  <dcterms:modified xsi:type="dcterms:W3CDTF">2020-06-15T07:28:46Z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